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65" w:rsidRPr="00D92C65" w:rsidRDefault="00D92C65" w:rsidP="00D92C65">
      <w:pPr>
        <w:shd w:val="clear" w:color="auto" w:fill="FFFFFF"/>
        <w:spacing w:before="150" w:after="150" w:line="360" w:lineRule="atLeast"/>
        <w:textAlignment w:val="baseline"/>
        <w:outlineLvl w:val="0"/>
        <w:rPr>
          <w:rFonts w:ascii="Helvetica" w:eastAsia="Times New Roman" w:hAnsi="Helvetica" w:cs="Helvetica"/>
          <w:b/>
          <w:bCs/>
          <w:noProof/>
          <w:color w:val="000000"/>
          <w:spacing w:val="12"/>
          <w:kern w:val="36"/>
          <w:sz w:val="36"/>
          <w:szCs w:val="36"/>
        </w:rPr>
      </w:pPr>
      <w:r w:rsidRPr="00D92C65">
        <w:rPr>
          <w:rFonts w:ascii="Helvetica" w:eastAsia="Times New Roman" w:hAnsi="Helvetica" w:cs="Helvetica"/>
          <w:b/>
          <w:bCs/>
          <w:noProof/>
          <w:color w:val="000000"/>
          <w:spacing w:val="12"/>
          <w:kern w:val="36"/>
          <w:sz w:val="36"/>
          <w:szCs w:val="36"/>
        </w:rPr>
        <w:t>Hematopoietic Stem Cell Transplant in MS: Third Study Reports Positive Results</w:t>
      </w:r>
    </w:p>
    <w:p w:rsidR="00915CD1" w:rsidRPr="00F100A0" w:rsidRDefault="00D92C65" w:rsidP="00D92C65">
      <w:pPr>
        <w:rPr>
          <w:rFonts w:ascii="Helvetica" w:hAnsi="Helvetica" w:cs="Helvetica"/>
          <w:noProof/>
          <w:color w:val="000000"/>
          <w:shd w:val="clear" w:color="auto" w:fill="FFFFFF"/>
        </w:rPr>
      </w:pPr>
      <w:r w:rsidRPr="00F100A0">
        <w:rPr>
          <w:rFonts w:ascii="Helvetica" w:hAnsi="Helvetica" w:cs="Helvetica"/>
          <w:noProof/>
          <w:color w:val="000000"/>
          <w:shd w:val="clear" w:color="auto" w:fill="FFFFFF"/>
        </w:rPr>
        <w:t>Researchers in Italy released results from a randomized, controlled, multicenter phase 2 trial of autologous hematopoietic stem cell transplantation. Their regimen led to significant reduction in T2-weighted lesions and annualized relapse rate.</w:t>
      </w:r>
    </w:p>
    <w:p w:rsidR="00D92C65" w:rsidRPr="00F100A0" w:rsidRDefault="00D92C65" w:rsidP="00D92C65">
      <w:pPr>
        <w:rPr>
          <w:noProof/>
        </w:rPr>
      </w:pPr>
      <w:r w:rsidRPr="00F100A0">
        <w:rPr>
          <w:noProof/>
        </w:rPr>
        <w:drawing>
          <wp:inline distT="0" distB="0" distL="0" distR="0">
            <wp:extent cx="2857500" cy="2000250"/>
            <wp:effectExtent l="19050" t="0" r="0" b="0"/>
            <wp:docPr id="1" name="Picture 1" descr="Cartoon by Cynthia McKel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y Cynthia McKelvey."/>
                    <pic:cNvPicPr>
                      <a:picLocks noChangeAspect="1" noChangeArrowheads="1"/>
                    </pic:cNvPicPr>
                  </pic:nvPicPr>
                  <pic:blipFill>
                    <a:blip r:embed="rId5"/>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The battle of the conditioning regimens rages on as yet another article boasting successful results from a phase 2 trial of autologous hematopoietic stem cell transplantation (AHSCT) is published today.</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This randomized, controlled, multicenter trial, conducted by a group of physicians based in Italy, tested a highly intense conditioning regimen followed by AHSCT compared to the immunosuppressant</w:t>
      </w:r>
      <w:r w:rsidRPr="00F100A0">
        <w:rPr>
          <w:rStyle w:val="apple-converted-space"/>
          <w:rFonts w:ascii="Helvetica" w:hAnsi="Helvetica" w:cs="Helvetica"/>
          <w:noProof/>
          <w:color w:val="000000"/>
          <w:sz w:val="20"/>
          <w:szCs w:val="20"/>
        </w:rPr>
        <w:t> </w:t>
      </w:r>
      <w:hyperlink r:id="rId6" w:history="1">
        <w:r w:rsidRPr="00F100A0">
          <w:rPr>
            <w:rStyle w:val="Hyperlink"/>
            <w:rFonts w:ascii="Helvetica" w:hAnsi="Helvetica" w:cs="Helvetica"/>
            <w:noProof/>
            <w:color w:val="007A88"/>
            <w:sz w:val="20"/>
            <w:szCs w:val="20"/>
            <w:bdr w:val="none" w:sz="0" w:space="0" w:color="auto" w:frame="1"/>
          </w:rPr>
          <w:t>mitoxantrone</w:t>
        </w:r>
      </w:hyperlink>
      <w:r w:rsidRPr="00F100A0">
        <w:rPr>
          <w:rStyle w:val="apple-converted-space"/>
          <w:rFonts w:ascii="Helvetica" w:hAnsi="Helvetica" w:cs="Helvetica"/>
          <w:noProof/>
          <w:color w:val="000000"/>
          <w:sz w:val="20"/>
          <w:szCs w:val="20"/>
        </w:rPr>
        <w:t> </w:t>
      </w:r>
      <w:r w:rsidRPr="00F100A0">
        <w:rPr>
          <w:rFonts w:ascii="Helvetica" w:hAnsi="Helvetica" w:cs="Helvetica"/>
          <w:noProof/>
          <w:color w:val="000000"/>
          <w:sz w:val="20"/>
          <w:szCs w:val="20"/>
        </w:rPr>
        <w:t>(MTX; Novantrone, EMD Serono) in 21 MS patients (</w:t>
      </w:r>
      <w:hyperlink r:id="rId7" w:tgtFrame="_blank" w:history="1">
        <w:r w:rsidRPr="00F100A0">
          <w:rPr>
            <w:rStyle w:val="Hyperlink"/>
            <w:rFonts w:ascii="Helvetica" w:hAnsi="Helvetica" w:cs="Helvetica"/>
            <w:noProof/>
            <w:color w:val="007A88"/>
            <w:sz w:val="20"/>
            <w:szCs w:val="20"/>
            <w:bdr w:val="none" w:sz="0" w:space="0" w:color="auto" w:frame="1"/>
          </w:rPr>
          <w:t>Mancardi</w:t>
        </w:r>
        <w:r w:rsidRPr="00F100A0">
          <w:rPr>
            <w:rStyle w:val="apple-converted-space"/>
            <w:rFonts w:ascii="Helvetica" w:hAnsi="Helvetica" w:cs="Helvetica"/>
            <w:noProof/>
            <w:color w:val="007A88"/>
            <w:sz w:val="20"/>
            <w:szCs w:val="20"/>
            <w:bdr w:val="none" w:sz="0" w:space="0" w:color="auto" w:frame="1"/>
          </w:rPr>
          <w:t> </w:t>
        </w:r>
        <w:r w:rsidRPr="00F100A0">
          <w:rPr>
            <w:rStyle w:val="Emphasis"/>
            <w:rFonts w:ascii="inherit" w:hAnsi="inherit" w:cs="Helvetica"/>
            <w:noProof/>
            <w:color w:val="007A88"/>
            <w:sz w:val="20"/>
            <w:szCs w:val="20"/>
            <w:bdr w:val="none" w:sz="0" w:space="0" w:color="auto" w:frame="1"/>
          </w:rPr>
          <w:t>et al</w:t>
        </w:r>
        <w:r w:rsidRPr="00F100A0">
          <w:rPr>
            <w:rStyle w:val="Hyperlink"/>
            <w:rFonts w:ascii="Helvetica" w:hAnsi="Helvetica" w:cs="Helvetica"/>
            <w:noProof/>
            <w:color w:val="007A88"/>
            <w:sz w:val="20"/>
            <w:szCs w:val="20"/>
            <w:bdr w:val="none" w:sz="0" w:space="0" w:color="auto" w:frame="1"/>
          </w:rPr>
          <w:t>., 2015</w:t>
        </w:r>
      </w:hyperlink>
      <w:r w:rsidRPr="00F100A0">
        <w:rPr>
          <w:rFonts w:ascii="Helvetica" w:hAnsi="Helvetica" w:cs="Helvetica"/>
          <w:noProof/>
          <w:color w:val="000000"/>
          <w:sz w:val="20"/>
          <w:szCs w:val="20"/>
        </w:rPr>
        <w:t>). Nine patients were assigned to the AHSCT group [two relapsing-remitting (RR), three secondary progressive (SP), four secondary progressive with relapses], and the remaining 12 fell into the MTX-treated group (five RR, three SP, three SP with relapses, and one relapsing-progressive).</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Patients undergoing AHSCT were given 4 g/m</w:t>
      </w:r>
      <w:r w:rsidRPr="00F100A0">
        <w:rPr>
          <w:rFonts w:ascii="inherit" w:hAnsi="inherit" w:cs="Helvetica"/>
          <w:noProof/>
          <w:color w:val="000000"/>
          <w:sz w:val="15"/>
          <w:szCs w:val="15"/>
          <w:bdr w:val="none" w:sz="0" w:space="0" w:color="auto" w:frame="1"/>
          <w:vertAlign w:val="superscript"/>
        </w:rPr>
        <w:t>2</w:t>
      </w:r>
      <w:r w:rsidRPr="00F100A0">
        <w:rPr>
          <w:rStyle w:val="apple-converted-space"/>
          <w:rFonts w:ascii="Helvetica" w:hAnsi="Helvetica" w:cs="Helvetica"/>
          <w:noProof/>
          <w:color w:val="000000"/>
          <w:sz w:val="20"/>
          <w:szCs w:val="20"/>
        </w:rPr>
        <w:t> </w:t>
      </w:r>
      <w:r w:rsidRPr="00F100A0">
        <w:rPr>
          <w:rFonts w:ascii="Helvetica" w:hAnsi="Helvetica" w:cs="Helvetica"/>
          <w:noProof/>
          <w:color w:val="000000"/>
          <w:sz w:val="20"/>
          <w:szCs w:val="20"/>
        </w:rPr>
        <w:t>of cyclophosphamide for one day and 5 μg/kg body weight of filgrastim until the team finished harvesting the peripheral hematopoietic stem cells. They used a high-dose chemotherapy conditioning regimen called BEAM, commonly used in treating patients with Hodgkin’s lymphoma, to ready the patients for transplant. Patients in the MTX arm received an intravenous dose of 20 mg mitoxantrone and 1 g of methylprednisolone diluted in 250 mL 0.9 saline once a month for 6 months.</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Using an intention-to-treat analysis, the team found that patients who underwent AHSCT had a median of 2.5 (mean 2.75, range 0-8) new T2-weighted lesions on MRI scans compared to a median of 8 (mean 12.75, range 2-34) in MTX-treated patients (rate ratio = 0.21, 95% CI 0.10–0.48,</w:t>
      </w:r>
      <w:r w:rsidRPr="00F100A0">
        <w:rPr>
          <w:rStyle w:val="apple-converted-space"/>
          <w:rFonts w:ascii="Helvetica" w:hAnsi="Helvetica" w:cs="Helvetica"/>
          <w:noProof/>
          <w:color w:val="000000"/>
          <w:sz w:val="20"/>
          <w:szCs w:val="20"/>
        </w:rPr>
        <w:t> </w:t>
      </w:r>
      <w:r w:rsidRPr="00F100A0">
        <w:rPr>
          <w:rStyle w:val="Emphasis"/>
          <w:rFonts w:ascii="inherit" w:hAnsi="inherit" w:cs="Helvetica"/>
          <w:noProof/>
          <w:color w:val="000000"/>
          <w:sz w:val="20"/>
          <w:szCs w:val="20"/>
          <w:bdr w:val="none" w:sz="0" w:space="0" w:color="auto" w:frame="1"/>
        </w:rPr>
        <w:t>p</w:t>
      </w:r>
      <w:r w:rsidRPr="00F100A0">
        <w:rPr>
          <w:rStyle w:val="apple-converted-space"/>
          <w:rFonts w:ascii="Helvetica" w:hAnsi="Helvetica" w:cs="Helvetica"/>
          <w:noProof/>
          <w:color w:val="000000"/>
          <w:sz w:val="20"/>
          <w:szCs w:val="20"/>
        </w:rPr>
        <w:t> </w:t>
      </w:r>
      <w:r w:rsidRPr="00F100A0">
        <w:rPr>
          <w:rFonts w:ascii="Helvetica" w:hAnsi="Helvetica" w:cs="Helvetica"/>
          <w:noProof/>
          <w:color w:val="000000"/>
          <w:sz w:val="20"/>
          <w:szCs w:val="20"/>
        </w:rPr>
        <w:t>= 0.00016). However, due to technical problems and patient dropout, scans were only obtained from 17 of the 21 patients. The researchers performed best- and worst-case scenario imputation analyses to adjust for the missing MRI data and found that the results were still significant throughout.</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lastRenderedPageBreak/>
        <w:t>AHSCT also outperformed MTX in annualized relapse rate (ARR) over 4 years. ARR was 0.19 for AHSCT patients and 0.6 for MTX patients (rate ratio = 0.36, 95% CI 0.15-0.88,</w:t>
      </w:r>
      <w:r w:rsidRPr="00F100A0">
        <w:rPr>
          <w:rStyle w:val="apple-converted-space"/>
          <w:rFonts w:ascii="Helvetica" w:hAnsi="Helvetica" w:cs="Helvetica"/>
          <w:noProof/>
          <w:color w:val="000000"/>
          <w:sz w:val="20"/>
          <w:szCs w:val="20"/>
        </w:rPr>
        <w:t> </w:t>
      </w:r>
      <w:r w:rsidRPr="00F100A0">
        <w:rPr>
          <w:rStyle w:val="Emphasis"/>
          <w:rFonts w:ascii="inherit" w:hAnsi="inherit" w:cs="Helvetica"/>
          <w:noProof/>
          <w:color w:val="000000"/>
          <w:sz w:val="20"/>
          <w:szCs w:val="20"/>
          <w:bdr w:val="none" w:sz="0" w:space="0" w:color="auto" w:frame="1"/>
        </w:rPr>
        <w:t>p</w:t>
      </w:r>
      <w:r w:rsidRPr="00F100A0">
        <w:rPr>
          <w:rFonts w:ascii="Helvetica" w:hAnsi="Helvetica" w:cs="Helvetica"/>
          <w:noProof/>
          <w:color w:val="000000"/>
          <w:sz w:val="20"/>
          <w:szCs w:val="20"/>
        </w:rPr>
        <w:t>= 0.026). However, 57% of AHSCT patients demonstrated progression at the end of follow-up, whereas only 48% of MTX patients showed progression. The researchers did not observe any difference in Expanded Disability Status Scale (EDSS) scores between the two treatment arms.</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These data suggest that AHSCT is superior to immunosuppression for patients with highly active MS. The conditioning regimen that they used to knock back the immune system in patients before performing the stem cell transplant was also fairly intense, compared to the</w:t>
      </w:r>
      <w:r w:rsidRPr="00F100A0">
        <w:rPr>
          <w:rStyle w:val="apple-converted-space"/>
          <w:rFonts w:ascii="Helvetica" w:hAnsi="Helvetica" w:cs="Helvetica"/>
          <w:noProof/>
          <w:color w:val="000000"/>
          <w:sz w:val="20"/>
          <w:szCs w:val="20"/>
        </w:rPr>
        <w:t> </w:t>
      </w:r>
      <w:hyperlink r:id="rId8" w:history="1">
        <w:r w:rsidRPr="00F100A0">
          <w:rPr>
            <w:rStyle w:val="Hyperlink"/>
            <w:rFonts w:ascii="Helvetica" w:hAnsi="Helvetica" w:cs="Helvetica"/>
            <w:noProof/>
            <w:color w:val="007A88"/>
            <w:sz w:val="20"/>
            <w:szCs w:val="20"/>
            <w:bdr w:val="none" w:sz="0" w:space="0" w:color="auto" w:frame="1"/>
          </w:rPr>
          <w:t>HALT-MS</w:t>
        </w:r>
      </w:hyperlink>
      <w:r w:rsidRPr="00F100A0">
        <w:rPr>
          <w:rStyle w:val="apple-converted-space"/>
          <w:rFonts w:ascii="Helvetica" w:hAnsi="Helvetica" w:cs="Helvetica"/>
          <w:noProof/>
          <w:color w:val="000000"/>
          <w:sz w:val="20"/>
          <w:szCs w:val="20"/>
        </w:rPr>
        <w:t> </w:t>
      </w:r>
      <w:r w:rsidRPr="00F100A0">
        <w:rPr>
          <w:rFonts w:ascii="Helvetica" w:hAnsi="Helvetica" w:cs="Helvetica"/>
          <w:noProof/>
          <w:color w:val="000000"/>
          <w:sz w:val="20"/>
          <w:szCs w:val="20"/>
        </w:rPr>
        <w:t>trial and the</w:t>
      </w:r>
      <w:r w:rsidRPr="00F100A0">
        <w:rPr>
          <w:rStyle w:val="apple-converted-space"/>
          <w:rFonts w:ascii="Helvetica" w:hAnsi="Helvetica" w:cs="Helvetica"/>
          <w:noProof/>
          <w:color w:val="000000"/>
          <w:sz w:val="20"/>
          <w:szCs w:val="20"/>
        </w:rPr>
        <w:t> </w:t>
      </w:r>
      <w:hyperlink r:id="rId9" w:history="1">
        <w:r w:rsidRPr="00F100A0">
          <w:rPr>
            <w:rStyle w:val="Hyperlink"/>
            <w:rFonts w:ascii="Helvetica" w:hAnsi="Helvetica" w:cs="Helvetica"/>
            <w:noProof/>
            <w:color w:val="007A88"/>
            <w:sz w:val="20"/>
            <w:szCs w:val="20"/>
            <w:bdr w:val="none" w:sz="0" w:space="0" w:color="auto" w:frame="1"/>
          </w:rPr>
          <w:t>Northwestern University</w:t>
        </w:r>
      </w:hyperlink>
      <w:r w:rsidRPr="00F100A0">
        <w:rPr>
          <w:rStyle w:val="apple-converted-space"/>
          <w:rFonts w:ascii="Helvetica" w:hAnsi="Helvetica" w:cs="Helvetica"/>
          <w:noProof/>
          <w:color w:val="000000"/>
          <w:sz w:val="20"/>
          <w:szCs w:val="20"/>
        </w:rPr>
        <w:t> </w:t>
      </w:r>
      <w:r w:rsidRPr="00F100A0">
        <w:rPr>
          <w:rFonts w:ascii="Helvetica" w:hAnsi="Helvetica" w:cs="Helvetica"/>
          <w:noProof/>
          <w:color w:val="000000"/>
          <w:sz w:val="20"/>
          <w:szCs w:val="20"/>
        </w:rPr>
        <w:t>trial that MSDF reported on earlier in 2015.</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The major strength of this study was that it was randomized and controlled. But the sample size was small and shrunken further by patient dropout. Additionally, the clinical outcomes were somewhat lackluster compared to other trials in AHSCT, particularly compared to the striking reduction in EDSS among patients enrolled in the Northwestern University trial. In a commentary accompanying the article in</w:t>
      </w:r>
      <w:r w:rsidRPr="00F100A0">
        <w:rPr>
          <w:rStyle w:val="apple-converted-space"/>
          <w:rFonts w:ascii="Helvetica" w:hAnsi="Helvetica" w:cs="Helvetica"/>
          <w:noProof/>
          <w:color w:val="000000"/>
          <w:sz w:val="20"/>
          <w:szCs w:val="20"/>
        </w:rPr>
        <w:t> </w:t>
      </w:r>
      <w:r w:rsidRPr="00F100A0">
        <w:rPr>
          <w:rStyle w:val="Emphasis"/>
          <w:rFonts w:ascii="inherit" w:hAnsi="inherit" w:cs="Helvetica"/>
          <w:noProof/>
          <w:color w:val="000000"/>
          <w:sz w:val="20"/>
          <w:szCs w:val="20"/>
          <w:bdr w:val="none" w:sz="0" w:space="0" w:color="auto" w:frame="1"/>
        </w:rPr>
        <w:t>Neurology</w:t>
      </w:r>
      <w:r w:rsidRPr="00F100A0">
        <w:rPr>
          <w:rFonts w:ascii="Helvetica" w:hAnsi="Helvetica" w:cs="Helvetica"/>
          <w:noProof/>
          <w:color w:val="000000"/>
          <w:sz w:val="20"/>
          <w:szCs w:val="20"/>
        </w:rPr>
        <w:t>, Paolo A. Muraro, M.D., Ph.D., of Imperial College London defended the EDSS results by writing that the study was “clearly underpowered for detecting such differences” (</w:t>
      </w:r>
      <w:hyperlink r:id="rId10" w:tgtFrame="_blank" w:history="1">
        <w:r w:rsidRPr="00F100A0">
          <w:rPr>
            <w:rStyle w:val="Hyperlink"/>
            <w:rFonts w:ascii="Helvetica" w:hAnsi="Helvetica" w:cs="Helvetica"/>
            <w:noProof/>
            <w:color w:val="007A88"/>
            <w:sz w:val="20"/>
            <w:szCs w:val="20"/>
            <w:bdr w:val="none" w:sz="0" w:space="0" w:color="auto" w:frame="1"/>
          </w:rPr>
          <w:t>Muraro, 2015</w:t>
        </w:r>
      </w:hyperlink>
      <w:r w:rsidRPr="00F100A0">
        <w:rPr>
          <w:rFonts w:ascii="Helvetica" w:hAnsi="Helvetica" w:cs="Helvetica"/>
          <w:noProof/>
          <w:color w:val="000000"/>
          <w:sz w:val="20"/>
          <w:szCs w:val="20"/>
        </w:rPr>
        <w:t>).</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Muraro also noted that MTX was a bit of an unusual choice for a control treatment because it “would not be a contemporary choice as comparator treatment, having lost traction because of its cardiac toxicity and risk of lymphoma.” But MTX was also the most appropriate choice due to its known efficacy in preventing the formation of new T2-weighted lesions, the study’s primary outcome measure.</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This study fails to settle the controversy over the intensity of the conditioning regimen. Some will likely argue that the regimen was not intense enough and therefore any continuing disease activity arose from remains of the “previous” immune system before the attempted “reset” by the transplant. On the other hand, other studies with less intense conditioning regimens have achieved equally good or better results.</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Muraro wrote that phase 3 trials are in the works to test both nonmyeloablative conditioning regimens and regimens of intermediate intensity.</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Heading2"/>
        <w:shd w:val="clear" w:color="auto" w:fill="FFFFFF"/>
        <w:spacing w:before="150" w:line="293" w:lineRule="atLeast"/>
        <w:textAlignment w:val="baseline"/>
        <w:rPr>
          <w:rFonts w:ascii="Helvetica" w:hAnsi="Helvetica" w:cs="Helvetica"/>
          <w:noProof/>
          <w:color w:val="000000"/>
          <w:sz w:val="21"/>
          <w:szCs w:val="21"/>
        </w:rPr>
      </w:pPr>
      <w:r w:rsidRPr="00F100A0">
        <w:rPr>
          <w:rFonts w:ascii="Helvetica" w:hAnsi="Helvetica" w:cs="Helvetica"/>
          <w:noProof/>
          <w:color w:val="000000"/>
          <w:sz w:val="21"/>
          <w:szCs w:val="21"/>
        </w:rPr>
        <w:t>Key open questions</w:t>
      </w:r>
    </w:p>
    <w:p w:rsidR="00F100A0" w:rsidRPr="00F100A0" w:rsidRDefault="00F100A0" w:rsidP="00F100A0">
      <w:pPr>
        <w:numPr>
          <w:ilvl w:val="0"/>
          <w:numId w:val="1"/>
        </w:numPr>
        <w:shd w:val="clear" w:color="auto" w:fill="FFFFFF"/>
        <w:spacing w:after="0" w:line="293" w:lineRule="atLeast"/>
        <w:ind w:left="0"/>
        <w:textAlignment w:val="baseline"/>
        <w:rPr>
          <w:rFonts w:ascii="inherit" w:hAnsi="inherit" w:cs="Helvetica"/>
          <w:noProof/>
          <w:color w:val="000000"/>
          <w:sz w:val="20"/>
          <w:szCs w:val="20"/>
        </w:rPr>
      </w:pPr>
      <w:r w:rsidRPr="00F100A0">
        <w:rPr>
          <w:rFonts w:ascii="inherit" w:hAnsi="inherit" w:cs="Helvetica"/>
          <w:noProof/>
          <w:color w:val="000000"/>
          <w:sz w:val="20"/>
          <w:szCs w:val="20"/>
        </w:rPr>
        <w:t>What are the best outcome measures for testing stem cell transplantation?</w:t>
      </w:r>
    </w:p>
    <w:p w:rsidR="00F100A0" w:rsidRPr="00F100A0" w:rsidRDefault="00F100A0" w:rsidP="00F100A0">
      <w:pPr>
        <w:numPr>
          <w:ilvl w:val="0"/>
          <w:numId w:val="1"/>
        </w:numPr>
        <w:shd w:val="clear" w:color="auto" w:fill="FFFFFF"/>
        <w:spacing w:after="0" w:line="293" w:lineRule="atLeast"/>
        <w:ind w:left="0"/>
        <w:textAlignment w:val="baseline"/>
        <w:rPr>
          <w:rFonts w:ascii="inherit" w:hAnsi="inherit" w:cs="Helvetica"/>
          <w:noProof/>
          <w:color w:val="000000"/>
          <w:sz w:val="20"/>
          <w:szCs w:val="20"/>
        </w:rPr>
      </w:pPr>
      <w:r w:rsidRPr="00F100A0">
        <w:rPr>
          <w:rFonts w:ascii="inherit" w:hAnsi="inherit" w:cs="Helvetica"/>
          <w:noProof/>
          <w:color w:val="000000"/>
          <w:sz w:val="20"/>
          <w:szCs w:val="20"/>
        </w:rPr>
        <w:t>Should researchers be more focused on MRI measures or clinical outcomes?</w:t>
      </w:r>
    </w:p>
    <w:p w:rsidR="00F100A0" w:rsidRPr="00F100A0" w:rsidRDefault="00F100A0" w:rsidP="00F100A0">
      <w:pPr>
        <w:numPr>
          <w:ilvl w:val="0"/>
          <w:numId w:val="1"/>
        </w:numPr>
        <w:shd w:val="clear" w:color="auto" w:fill="FFFFFF"/>
        <w:spacing w:after="0" w:line="293" w:lineRule="atLeast"/>
        <w:ind w:left="0"/>
        <w:textAlignment w:val="baseline"/>
        <w:rPr>
          <w:rFonts w:ascii="inherit" w:hAnsi="inherit" w:cs="Helvetica"/>
          <w:noProof/>
          <w:color w:val="000000"/>
          <w:sz w:val="20"/>
          <w:szCs w:val="20"/>
        </w:rPr>
      </w:pPr>
      <w:r w:rsidRPr="00F100A0">
        <w:rPr>
          <w:rFonts w:ascii="inherit" w:hAnsi="inherit" w:cs="Helvetica"/>
          <w:noProof/>
          <w:color w:val="000000"/>
          <w:sz w:val="20"/>
          <w:szCs w:val="20"/>
        </w:rPr>
        <w:t>What other issues may come up in study design for phase 3 trials?</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Heading2"/>
        <w:shd w:val="clear" w:color="auto" w:fill="FFFFFF"/>
        <w:spacing w:before="150" w:line="293" w:lineRule="atLeast"/>
        <w:textAlignment w:val="baseline"/>
        <w:rPr>
          <w:rFonts w:ascii="Helvetica" w:hAnsi="Helvetica" w:cs="Helvetica"/>
          <w:noProof/>
          <w:color w:val="000000"/>
          <w:sz w:val="21"/>
          <w:szCs w:val="21"/>
        </w:rPr>
      </w:pPr>
      <w:r w:rsidRPr="00F100A0">
        <w:rPr>
          <w:rFonts w:ascii="Helvetica" w:hAnsi="Helvetica" w:cs="Helvetica"/>
          <w:noProof/>
          <w:color w:val="000000"/>
          <w:sz w:val="21"/>
          <w:szCs w:val="21"/>
        </w:rPr>
        <w:t>Disclosures and sources of funding</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Style w:val="Emphasis"/>
          <w:rFonts w:ascii="inherit" w:hAnsi="inherit" w:cs="Helvetica"/>
          <w:noProof/>
          <w:color w:val="000000"/>
          <w:sz w:val="20"/>
          <w:szCs w:val="20"/>
          <w:bdr w:val="none" w:sz="0" w:space="0" w:color="auto" w:frame="1"/>
        </w:rPr>
        <w:t>This study was funded by the Italian Multiple Sclerosis Foundation, grants 2001-R-38 and 2002-R-36.</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Style w:val="Emphasis"/>
          <w:rFonts w:ascii="inherit" w:hAnsi="inherit" w:cs="Helvetica"/>
          <w:noProof/>
          <w:color w:val="000000"/>
          <w:sz w:val="20"/>
          <w:szCs w:val="20"/>
          <w:bdr w:val="none" w:sz="0" w:space="0" w:color="auto" w:frame="1"/>
        </w:rPr>
        <w:t>Some of the authors reported relationships with various companies including Bayer Schering, Biogen Idec, Genmab A/S, Genzyme, Merck Serono, Novartis, Sanofi-Aventis, and Teva Pharmaceuticals.</w:t>
      </w:r>
    </w:p>
    <w:p w:rsidR="00F100A0" w:rsidRPr="00F100A0" w:rsidRDefault="00F100A0" w:rsidP="00F100A0">
      <w:pPr>
        <w:pStyle w:val="NormalWeb"/>
        <w:shd w:val="clear" w:color="auto" w:fill="FFFFFF"/>
        <w:spacing w:before="0" w:beforeAutospacing="0" w:after="0" w:afterAutospacing="0" w:line="293" w:lineRule="atLeast"/>
        <w:textAlignment w:val="baseline"/>
        <w:rPr>
          <w:rFonts w:ascii="Helvetica" w:hAnsi="Helvetica" w:cs="Helvetica"/>
          <w:noProof/>
          <w:color w:val="000000"/>
          <w:sz w:val="20"/>
          <w:szCs w:val="20"/>
        </w:rPr>
      </w:pPr>
      <w:r w:rsidRPr="00F100A0">
        <w:rPr>
          <w:rFonts w:ascii="Helvetica" w:hAnsi="Helvetica" w:cs="Helvetica"/>
          <w:noProof/>
          <w:color w:val="000000"/>
          <w:sz w:val="20"/>
          <w:szCs w:val="20"/>
        </w:rPr>
        <w:t> </w:t>
      </w:r>
    </w:p>
    <w:p w:rsidR="00F100A0" w:rsidRPr="00F100A0" w:rsidRDefault="00F100A0" w:rsidP="00F100A0">
      <w:pPr>
        <w:pStyle w:val="Heading2"/>
        <w:shd w:val="clear" w:color="auto" w:fill="EEEEEE"/>
        <w:spacing w:before="150" w:line="293" w:lineRule="atLeast"/>
        <w:textAlignment w:val="baseline"/>
        <w:rPr>
          <w:rFonts w:ascii="Helvetica" w:hAnsi="Helvetica" w:cs="Helvetica"/>
          <w:noProof/>
          <w:color w:val="000000"/>
          <w:sz w:val="21"/>
          <w:szCs w:val="21"/>
        </w:rPr>
      </w:pPr>
      <w:r w:rsidRPr="00F100A0">
        <w:rPr>
          <w:rFonts w:ascii="Helvetica" w:hAnsi="Helvetica" w:cs="Helvetica"/>
          <w:noProof/>
          <w:color w:val="000000"/>
          <w:sz w:val="21"/>
          <w:szCs w:val="21"/>
        </w:rPr>
        <w:lastRenderedPageBreak/>
        <w:t>References</w:t>
      </w:r>
    </w:p>
    <w:p w:rsidR="00F100A0" w:rsidRPr="00F100A0" w:rsidRDefault="00F100A0" w:rsidP="00F100A0">
      <w:pPr>
        <w:shd w:val="clear" w:color="auto" w:fill="EEEEEE"/>
        <w:spacing w:line="293" w:lineRule="atLeast"/>
        <w:textAlignment w:val="baseline"/>
        <w:rPr>
          <w:rFonts w:ascii="inherit" w:hAnsi="inherit" w:cs="Helvetica"/>
          <w:noProof/>
          <w:color w:val="000000"/>
          <w:sz w:val="20"/>
          <w:szCs w:val="20"/>
        </w:rPr>
      </w:pPr>
      <w:r w:rsidRPr="00F100A0">
        <w:rPr>
          <w:rFonts w:ascii="inherit" w:hAnsi="inherit" w:cs="Helvetica"/>
          <w:noProof/>
          <w:color w:val="000000"/>
          <w:sz w:val="20"/>
          <w:szCs w:val="20"/>
        </w:rPr>
        <w:t>Editors' Pick</w:t>
      </w:r>
    </w:p>
    <w:p w:rsidR="00F100A0" w:rsidRPr="00F100A0" w:rsidRDefault="00915CD1" w:rsidP="00F100A0">
      <w:pPr>
        <w:shd w:val="clear" w:color="auto" w:fill="EEEEEE"/>
        <w:spacing w:line="293" w:lineRule="atLeast"/>
        <w:textAlignment w:val="baseline"/>
        <w:rPr>
          <w:rFonts w:ascii="inherit" w:hAnsi="inherit" w:cs="Helvetica"/>
          <w:noProof/>
          <w:color w:val="000000"/>
          <w:sz w:val="20"/>
          <w:szCs w:val="20"/>
        </w:rPr>
      </w:pPr>
      <w:hyperlink r:id="rId11" w:history="1">
        <w:r w:rsidR="00F100A0" w:rsidRPr="00F100A0">
          <w:rPr>
            <w:rStyle w:val="Hyperlink"/>
            <w:rFonts w:ascii="@Arial Unicode MS" w:eastAsia="@Arial Unicode MS" w:hAnsi="@Arial Unicode MS" w:cs="@Arial Unicode MS"/>
            <w:b/>
            <w:bCs/>
            <w:noProof/>
            <w:color w:val="007A88"/>
            <w:sz w:val="20"/>
            <w:szCs w:val="20"/>
            <w:bdr w:val="none" w:sz="0" w:space="0" w:color="auto" w:frame="1"/>
          </w:rPr>
          <w:t>Autologous hematopoietic stem cell transplantation in multiple sclerosis A phase II trial</w:t>
        </w:r>
      </w:hyperlink>
    </w:p>
    <w:p w:rsidR="00F100A0" w:rsidRPr="00F100A0" w:rsidRDefault="00F100A0" w:rsidP="00F100A0">
      <w:pPr>
        <w:shd w:val="clear" w:color="auto" w:fill="EEEEEE"/>
        <w:spacing w:line="293" w:lineRule="atLeast"/>
        <w:textAlignment w:val="baseline"/>
        <w:rPr>
          <w:rFonts w:ascii="inherit" w:hAnsi="inherit" w:cs="Helvetica"/>
          <w:noProof/>
          <w:color w:val="000000"/>
          <w:sz w:val="20"/>
          <w:szCs w:val="20"/>
        </w:rPr>
      </w:pPr>
      <w:r w:rsidRPr="00F100A0">
        <w:rPr>
          <w:rFonts w:ascii="inherit" w:hAnsi="inherit" w:cs="Helvetica"/>
          <w:noProof/>
          <w:color w:val="000000"/>
          <w:sz w:val="20"/>
          <w:szCs w:val="20"/>
        </w:rPr>
        <w:t>Mancardi G, Sormani M, Gualandi F, Saiz A, Carreras E, Merelli E, Donelli A, Lugaresi A, Bartolomeo DP, Rottoli MR, et al.,</w:t>
      </w:r>
      <w:r w:rsidRPr="00F100A0">
        <w:rPr>
          <w:rStyle w:val="apple-converted-space"/>
          <w:rFonts w:ascii="inherit" w:hAnsi="inherit" w:cs="Helvetica"/>
          <w:noProof/>
          <w:color w:val="000000"/>
          <w:sz w:val="20"/>
          <w:szCs w:val="20"/>
        </w:rPr>
        <w:t> </w:t>
      </w:r>
      <w:r w:rsidRPr="00F100A0">
        <w:rPr>
          <w:rStyle w:val="biblio-date"/>
          <w:rFonts w:ascii="inherit" w:hAnsi="inherit" w:cs="Helvetica"/>
          <w:noProof/>
          <w:color w:val="000000"/>
          <w:sz w:val="20"/>
          <w:szCs w:val="20"/>
          <w:bdr w:val="none" w:sz="0" w:space="0" w:color="auto" w:frame="1"/>
        </w:rPr>
        <w:t>11 Feb 2015</w:t>
      </w:r>
    </w:p>
    <w:p w:rsidR="00F100A0" w:rsidRPr="00F100A0" w:rsidRDefault="00F100A0" w:rsidP="00F100A0">
      <w:pPr>
        <w:shd w:val="clear" w:color="auto" w:fill="EEEEEE"/>
        <w:spacing w:line="293" w:lineRule="atLeast"/>
        <w:textAlignment w:val="baseline"/>
        <w:rPr>
          <w:rFonts w:ascii="inherit" w:hAnsi="inherit" w:cs="Helvetica"/>
          <w:noProof/>
          <w:color w:val="000000"/>
          <w:sz w:val="20"/>
          <w:szCs w:val="20"/>
        </w:rPr>
      </w:pPr>
      <w:r w:rsidRPr="00F100A0">
        <w:rPr>
          <w:rFonts w:ascii="inherit" w:hAnsi="inherit" w:cs="Helvetica"/>
          <w:noProof/>
          <w:color w:val="000000"/>
          <w:sz w:val="20"/>
          <w:szCs w:val="20"/>
        </w:rPr>
        <w:t>Accessed on 11 Feb 2015 from http://www.neurology.org/content/early/2015/02/11/WNL.0000000000001329.abstract.</w:t>
      </w:r>
    </w:p>
    <w:p w:rsidR="00F100A0" w:rsidRPr="00F100A0" w:rsidRDefault="00915CD1" w:rsidP="00F100A0">
      <w:pPr>
        <w:shd w:val="clear" w:color="auto" w:fill="EEEEEE"/>
        <w:spacing w:line="293" w:lineRule="atLeast"/>
        <w:textAlignment w:val="baseline"/>
        <w:rPr>
          <w:rFonts w:ascii="inherit" w:hAnsi="inherit" w:cs="Helvetica"/>
          <w:noProof/>
          <w:color w:val="000000"/>
          <w:sz w:val="20"/>
          <w:szCs w:val="20"/>
        </w:rPr>
      </w:pPr>
      <w:hyperlink r:id="rId12" w:history="1">
        <w:r w:rsidR="00F100A0" w:rsidRPr="00F100A0">
          <w:rPr>
            <w:rStyle w:val="Hyperlink"/>
            <w:rFonts w:ascii="@Arial Unicode MS" w:eastAsia="@Arial Unicode MS" w:hAnsi="@Arial Unicode MS" w:cs="@Arial Unicode MS"/>
            <w:b/>
            <w:bCs/>
            <w:noProof/>
            <w:color w:val="007A88"/>
            <w:sz w:val="20"/>
            <w:szCs w:val="20"/>
            <w:bdr w:val="none" w:sz="0" w:space="0" w:color="auto" w:frame="1"/>
          </w:rPr>
          <w:t>Andiamo! Moving forward with autologous hematopoietic transplantation for highly active MS</w:t>
        </w:r>
      </w:hyperlink>
    </w:p>
    <w:p w:rsidR="00F100A0" w:rsidRPr="00F100A0" w:rsidRDefault="00F100A0" w:rsidP="00F100A0">
      <w:pPr>
        <w:shd w:val="clear" w:color="auto" w:fill="EEEEEE"/>
        <w:spacing w:line="293" w:lineRule="atLeast"/>
        <w:textAlignment w:val="baseline"/>
        <w:rPr>
          <w:rFonts w:ascii="inherit" w:hAnsi="inherit" w:cs="Helvetica"/>
          <w:noProof/>
          <w:color w:val="000000"/>
          <w:sz w:val="20"/>
          <w:szCs w:val="20"/>
        </w:rPr>
      </w:pPr>
      <w:r w:rsidRPr="00F100A0">
        <w:rPr>
          <w:rFonts w:ascii="inherit" w:hAnsi="inherit" w:cs="Helvetica"/>
          <w:noProof/>
          <w:color w:val="000000"/>
          <w:sz w:val="20"/>
          <w:szCs w:val="20"/>
        </w:rPr>
        <w:t>Muraro PA,</w:t>
      </w:r>
      <w:r w:rsidRPr="00F100A0">
        <w:rPr>
          <w:rStyle w:val="apple-converted-space"/>
          <w:rFonts w:ascii="inherit" w:hAnsi="inherit" w:cs="Helvetica"/>
          <w:noProof/>
          <w:color w:val="000000"/>
          <w:sz w:val="20"/>
          <w:szCs w:val="20"/>
        </w:rPr>
        <w:t> </w:t>
      </w:r>
      <w:r w:rsidRPr="00F100A0">
        <w:rPr>
          <w:rStyle w:val="biblio-date"/>
          <w:rFonts w:ascii="inherit" w:hAnsi="inherit" w:cs="Helvetica"/>
          <w:noProof/>
          <w:color w:val="000000"/>
          <w:sz w:val="20"/>
          <w:szCs w:val="20"/>
          <w:bdr w:val="none" w:sz="0" w:space="0" w:color="auto" w:frame="1"/>
        </w:rPr>
        <w:t>11 Feb 2015</w:t>
      </w:r>
    </w:p>
    <w:p w:rsidR="00F100A0" w:rsidRPr="00F100A0" w:rsidRDefault="00F100A0" w:rsidP="00F100A0">
      <w:pPr>
        <w:shd w:val="clear" w:color="auto" w:fill="EEEEEE"/>
        <w:spacing w:line="293" w:lineRule="atLeast"/>
        <w:textAlignment w:val="baseline"/>
        <w:rPr>
          <w:rFonts w:ascii="inherit" w:hAnsi="inherit" w:cs="Helvetica"/>
          <w:noProof/>
          <w:color w:val="000000"/>
          <w:sz w:val="20"/>
          <w:szCs w:val="20"/>
        </w:rPr>
      </w:pPr>
      <w:r w:rsidRPr="00F100A0">
        <w:rPr>
          <w:rFonts w:ascii="inherit" w:hAnsi="inherit" w:cs="Helvetica"/>
          <w:noProof/>
          <w:color w:val="000000"/>
          <w:sz w:val="20"/>
          <w:szCs w:val="20"/>
        </w:rPr>
        <w:t>Accessed on 11 Feb 2015 from</w:t>
      </w:r>
      <w:r w:rsidRPr="00F100A0">
        <w:rPr>
          <w:rStyle w:val="apple-converted-space"/>
          <w:rFonts w:ascii="inherit" w:hAnsi="inherit" w:cs="Helvetica"/>
          <w:noProof/>
          <w:color w:val="000000"/>
          <w:sz w:val="20"/>
          <w:szCs w:val="20"/>
        </w:rPr>
        <w:t> </w:t>
      </w:r>
    </w:p>
    <w:p w:rsidR="00F100A0" w:rsidRPr="00F100A0" w:rsidRDefault="00F100A0" w:rsidP="00D92C65">
      <w:pPr>
        <w:rPr>
          <w:noProof/>
        </w:rPr>
      </w:pPr>
    </w:p>
    <w:p w:rsidR="00D92C65" w:rsidRPr="00F100A0" w:rsidRDefault="00D92C65" w:rsidP="00D92C65">
      <w:pPr>
        <w:rPr>
          <w:noProof/>
        </w:rPr>
      </w:pPr>
      <w:permStart w:id="0" w:edGrp="everyone"/>
      <w:permEnd w:id="0"/>
    </w:p>
    <w:sectPr w:rsidR="00D92C65" w:rsidRPr="00F100A0" w:rsidSect="00915CD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33490"/>
    <w:multiLevelType w:val="multilevel"/>
    <w:tmpl w:val="64E0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8DDwJswFLFDBaR7g5Uep3QeogA=" w:salt="6YIa9qIJwUh3hRGJIBfQsg=="/>
  <w:defaultTabStop w:val="720"/>
  <w:characterSpacingControl w:val="doNotCompress"/>
  <w:compat>
    <w:useFELayout/>
  </w:compat>
  <w:rsids>
    <w:rsidRoot w:val="00D92C65"/>
    <w:rsid w:val="004C193F"/>
    <w:rsid w:val="00915CD1"/>
    <w:rsid w:val="00D92C65"/>
    <w:rsid w:val="00F10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D1"/>
  </w:style>
  <w:style w:type="paragraph" w:styleId="Heading1">
    <w:name w:val="heading 1"/>
    <w:basedOn w:val="Normal"/>
    <w:link w:val="Heading1Char"/>
    <w:uiPriority w:val="9"/>
    <w:qFormat/>
    <w:rsid w:val="00D92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100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C65"/>
    <w:rPr>
      <w:rFonts w:ascii="Tahoma" w:hAnsi="Tahoma" w:cs="Tahoma"/>
      <w:sz w:val="16"/>
      <w:szCs w:val="16"/>
    </w:rPr>
  </w:style>
  <w:style w:type="character" w:customStyle="1" w:styleId="Heading2Char">
    <w:name w:val="Heading 2 Char"/>
    <w:basedOn w:val="DefaultParagraphFont"/>
    <w:link w:val="Heading2"/>
    <w:uiPriority w:val="9"/>
    <w:semiHidden/>
    <w:rsid w:val="00F100A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10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00A0"/>
  </w:style>
  <w:style w:type="character" w:styleId="Hyperlink">
    <w:name w:val="Hyperlink"/>
    <w:basedOn w:val="DefaultParagraphFont"/>
    <w:uiPriority w:val="99"/>
    <w:semiHidden/>
    <w:unhideWhenUsed/>
    <w:rsid w:val="00F100A0"/>
    <w:rPr>
      <w:color w:val="0000FF"/>
      <w:u w:val="single"/>
    </w:rPr>
  </w:style>
  <w:style w:type="character" w:styleId="Emphasis">
    <w:name w:val="Emphasis"/>
    <w:basedOn w:val="DefaultParagraphFont"/>
    <w:uiPriority w:val="20"/>
    <w:qFormat/>
    <w:rsid w:val="00F100A0"/>
    <w:rPr>
      <w:i/>
      <w:iCs/>
    </w:rPr>
  </w:style>
  <w:style w:type="character" w:customStyle="1" w:styleId="biblio-date">
    <w:name w:val="biblio-date"/>
    <w:basedOn w:val="DefaultParagraphFont"/>
    <w:rsid w:val="00F100A0"/>
  </w:style>
</w:styles>
</file>

<file path=word/webSettings.xml><?xml version="1.0" encoding="utf-8"?>
<w:webSettings xmlns:r="http://schemas.openxmlformats.org/officeDocument/2006/relationships" xmlns:w="http://schemas.openxmlformats.org/wordprocessingml/2006/main">
  <w:divs>
    <w:div w:id="595330319">
      <w:bodyDiv w:val="1"/>
      <w:marLeft w:val="0"/>
      <w:marRight w:val="0"/>
      <w:marTop w:val="0"/>
      <w:marBottom w:val="0"/>
      <w:divBdr>
        <w:top w:val="none" w:sz="0" w:space="0" w:color="auto"/>
        <w:left w:val="none" w:sz="0" w:space="0" w:color="auto"/>
        <w:bottom w:val="none" w:sz="0" w:space="0" w:color="auto"/>
        <w:right w:val="none" w:sz="0" w:space="0" w:color="auto"/>
      </w:divBdr>
      <w:divsChild>
        <w:div w:id="1093862925">
          <w:marLeft w:val="0"/>
          <w:marRight w:val="0"/>
          <w:marTop w:val="0"/>
          <w:marBottom w:val="0"/>
          <w:divBdr>
            <w:top w:val="none" w:sz="0" w:space="0" w:color="auto"/>
            <w:left w:val="none" w:sz="0" w:space="0" w:color="auto"/>
            <w:bottom w:val="none" w:sz="0" w:space="0" w:color="auto"/>
            <w:right w:val="none" w:sz="0" w:space="0" w:color="auto"/>
          </w:divBdr>
          <w:divsChild>
            <w:div w:id="1199271825">
              <w:marLeft w:val="0"/>
              <w:marRight w:val="0"/>
              <w:marTop w:val="0"/>
              <w:marBottom w:val="0"/>
              <w:divBdr>
                <w:top w:val="none" w:sz="0" w:space="0" w:color="auto"/>
                <w:left w:val="none" w:sz="0" w:space="0" w:color="auto"/>
                <w:bottom w:val="none" w:sz="0" w:space="0" w:color="auto"/>
                <w:right w:val="none" w:sz="0" w:space="0" w:color="auto"/>
              </w:divBdr>
              <w:divsChild>
                <w:div w:id="493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19">
          <w:marLeft w:val="75"/>
          <w:marRight w:val="75"/>
          <w:marTop w:val="75"/>
          <w:marBottom w:val="75"/>
          <w:divBdr>
            <w:top w:val="none" w:sz="0" w:space="0" w:color="auto"/>
            <w:left w:val="none" w:sz="0" w:space="0" w:color="auto"/>
            <w:bottom w:val="none" w:sz="0" w:space="0" w:color="auto"/>
            <w:right w:val="none" w:sz="0" w:space="0" w:color="auto"/>
          </w:divBdr>
          <w:divsChild>
            <w:div w:id="929851503">
              <w:marLeft w:val="0"/>
              <w:marRight w:val="0"/>
              <w:marTop w:val="0"/>
              <w:marBottom w:val="0"/>
              <w:divBdr>
                <w:top w:val="none" w:sz="0" w:space="0" w:color="auto"/>
                <w:left w:val="none" w:sz="0" w:space="0" w:color="auto"/>
                <w:bottom w:val="single" w:sz="6" w:space="0" w:color="000000"/>
                <w:right w:val="none" w:sz="0" w:space="0" w:color="auto"/>
              </w:divBdr>
            </w:div>
            <w:div w:id="1925794803">
              <w:marLeft w:val="0"/>
              <w:marRight w:val="0"/>
              <w:marTop w:val="0"/>
              <w:marBottom w:val="0"/>
              <w:divBdr>
                <w:top w:val="none" w:sz="0" w:space="0" w:color="auto"/>
                <w:left w:val="none" w:sz="0" w:space="0" w:color="auto"/>
                <w:bottom w:val="none" w:sz="0" w:space="0" w:color="auto"/>
                <w:right w:val="none" w:sz="0" w:space="0" w:color="auto"/>
              </w:divBdr>
              <w:divsChild>
                <w:div w:id="2058814205">
                  <w:marLeft w:val="0"/>
                  <w:marRight w:val="0"/>
                  <w:marTop w:val="0"/>
                  <w:marBottom w:val="75"/>
                  <w:divBdr>
                    <w:top w:val="none" w:sz="0" w:space="0" w:color="auto"/>
                    <w:left w:val="none" w:sz="0" w:space="0" w:color="auto"/>
                    <w:bottom w:val="single" w:sz="6" w:space="4" w:color="999999"/>
                    <w:right w:val="none" w:sz="0" w:space="0" w:color="auto"/>
                  </w:divBdr>
                  <w:divsChild>
                    <w:div w:id="357396933">
                      <w:marLeft w:val="0"/>
                      <w:marRight w:val="0"/>
                      <w:marTop w:val="0"/>
                      <w:marBottom w:val="0"/>
                      <w:divBdr>
                        <w:top w:val="none" w:sz="0" w:space="0" w:color="auto"/>
                        <w:left w:val="none" w:sz="0" w:space="0" w:color="auto"/>
                        <w:bottom w:val="none" w:sz="0" w:space="0" w:color="auto"/>
                        <w:right w:val="none" w:sz="0" w:space="0" w:color="auto"/>
                      </w:divBdr>
                    </w:div>
                    <w:div w:id="1292783831">
                      <w:marLeft w:val="0"/>
                      <w:marRight w:val="0"/>
                      <w:marTop w:val="0"/>
                      <w:marBottom w:val="0"/>
                      <w:divBdr>
                        <w:top w:val="none" w:sz="0" w:space="0" w:color="auto"/>
                        <w:left w:val="none" w:sz="0" w:space="0" w:color="auto"/>
                        <w:bottom w:val="none" w:sz="0" w:space="0" w:color="auto"/>
                        <w:right w:val="none" w:sz="0" w:space="0" w:color="auto"/>
                      </w:divBdr>
                      <w:divsChild>
                        <w:div w:id="853374157">
                          <w:marLeft w:val="0"/>
                          <w:marRight w:val="0"/>
                          <w:marTop w:val="0"/>
                          <w:marBottom w:val="0"/>
                          <w:divBdr>
                            <w:top w:val="none" w:sz="0" w:space="0" w:color="auto"/>
                            <w:left w:val="none" w:sz="0" w:space="0" w:color="auto"/>
                            <w:bottom w:val="none" w:sz="0" w:space="0" w:color="auto"/>
                            <w:right w:val="none" w:sz="0" w:space="0" w:color="auto"/>
                          </w:divBdr>
                        </w:div>
                        <w:div w:id="1967201874">
                          <w:marLeft w:val="0"/>
                          <w:marRight w:val="0"/>
                          <w:marTop w:val="0"/>
                          <w:marBottom w:val="0"/>
                          <w:divBdr>
                            <w:top w:val="none" w:sz="0" w:space="0" w:color="auto"/>
                            <w:left w:val="none" w:sz="0" w:space="0" w:color="auto"/>
                            <w:bottom w:val="none" w:sz="0" w:space="0" w:color="auto"/>
                            <w:right w:val="none" w:sz="0" w:space="0" w:color="auto"/>
                          </w:divBdr>
                        </w:div>
                        <w:div w:id="230622984">
                          <w:marLeft w:val="0"/>
                          <w:marRight w:val="0"/>
                          <w:marTop w:val="0"/>
                          <w:marBottom w:val="0"/>
                          <w:divBdr>
                            <w:top w:val="none" w:sz="0" w:space="0" w:color="auto"/>
                            <w:left w:val="none" w:sz="0" w:space="0" w:color="auto"/>
                            <w:bottom w:val="none" w:sz="0" w:space="0" w:color="auto"/>
                            <w:right w:val="none" w:sz="0" w:space="0" w:color="auto"/>
                          </w:divBdr>
                          <w:divsChild>
                            <w:div w:id="12252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0369">
                  <w:marLeft w:val="0"/>
                  <w:marRight w:val="0"/>
                  <w:marTop w:val="0"/>
                  <w:marBottom w:val="75"/>
                  <w:divBdr>
                    <w:top w:val="none" w:sz="0" w:space="0" w:color="auto"/>
                    <w:left w:val="none" w:sz="0" w:space="0" w:color="auto"/>
                    <w:bottom w:val="single" w:sz="6" w:space="4" w:color="999999"/>
                    <w:right w:val="none" w:sz="0" w:space="0" w:color="auto"/>
                  </w:divBdr>
                  <w:divsChild>
                    <w:div w:id="130487265">
                      <w:marLeft w:val="0"/>
                      <w:marRight w:val="0"/>
                      <w:marTop w:val="0"/>
                      <w:marBottom w:val="0"/>
                      <w:divBdr>
                        <w:top w:val="none" w:sz="0" w:space="0" w:color="auto"/>
                        <w:left w:val="none" w:sz="0" w:space="0" w:color="auto"/>
                        <w:bottom w:val="none" w:sz="0" w:space="0" w:color="auto"/>
                        <w:right w:val="none" w:sz="0" w:space="0" w:color="auto"/>
                      </w:divBdr>
                      <w:divsChild>
                        <w:div w:id="747314815">
                          <w:marLeft w:val="0"/>
                          <w:marRight w:val="0"/>
                          <w:marTop w:val="0"/>
                          <w:marBottom w:val="0"/>
                          <w:divBdr>
                            <w:top w:val="none" w:sz="0" w:space="0" w:color="auto"/>
                            <w:left w:val="none" w:sz="0" w:space="0" w:color="auto"/>
                            <w:bottom w:val="none" w:sz="0" w:space="0" w:color="auto"/>
                            <w:right w:val="none" w:sz="0" w:space="0" w:color="auto"/>
                          </w:divBdr>
                        </w:div>
                        <w:div w:id="1908104452">
                          <w:marLeft w:val="0"/>
                          <w:marRight w:val="0"/>
                          <w:marTop w:val="0"/>
                          <w:marBottom w:val="0"/>
                          <w:divBdr>
                            <w:top w:val="none" w:sz="0" w:space="0" w:color="auto"/>
                            <w:left w:val="none" w:sz="0" w:space="0" w:color="auto"/>
                            <w:bottom w:val="none" w:sz="0" w:space="0" w:color="auto"/>
                            <w:right w:val="none" w:sz="0" w:space="0" w:color="auto"/>
                          </w:divBdr>
                        </w:div>
                        <w:div w:id="65224532">
                          <w:marLeft w:val="0"/>
                          <w:marRight w:val="0"/>
                          <w:marTop w:val="0"/>
                          <w:marBottom w:val="0"/>
                          <w:divBdr>
                            <w:top w:val="none" w:sz="0" w:space="0" w:color="auto"/>
                            <w:left w:val="none" w:sz="0" w:space="0" w:color="auto"/>
                            <w:bottom w:val="none" w:sz="0" w:space="0" w:color="auto"/>
                            <w:right w:val="none" w:sz="0" w:space="0" w:color="auto"/>
                          </w:divBdr>
                          <w:divsChild>
                            <w:div w:id="262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462321">
      <w:bodyDiv w:val="1"/>
      <w:marLeft w:val="0"/>
      <w:marRight w:val="0"/>
      <w:marTop w:val="0"/>
      <w:marBottom w:val="0"/>
      <w:divBdr>
        <w:top w:val="none" w:sz="0" w:space="0" w:color="auto"/>
        <w:left w:val="none" w:sz="0" w:space="0" w:color="auto"/>
        <w:bottom w:val="none" w:sz="0" w:space="0" w:color="auto"/>
        <w:right w:val="none" w:sz="0" w:space="0" w:color="auto"/>
      </w:divBdr>
      <w:divsChild>
        <w:div w:id="1979845492">
          <w:marLeft w:val="0"/>
          <w:marRight w:val="0"/>
          <w:marTop w:val="0"/>
          <w:marBottom w:val="0"/>
          <w:divBdr>
            <w:top w:val="none" w:sz="0" w:space="0" w:color="auto"/>
            <w:left w:val="none" w:sz="0" w:space="0" w:color="auto"/>
            <w:bottom w:val="none" w:sz="0" w:space="0" w:color="auto"/>
            <w:right w:val="none" w:sz="0" w:space="0" w:color="auto"/>
          </w:divBdr>
          <w:divsChild>
            <w:div w:id="1372726791">
              <w:marLeft w:val="0"/>
              <w:marRight w:val="0"/>
              <w:marTop w:val="0"/>
              <w:marBottom w:val="0"/>
              <w:divBdr>
                <w:top w:val="none" w:sz="0" w:space="0" w:color="auto"/>
                <w:left w:val="none" w:sz="0" w:space="0" w:color="auto"/>
                <w:bottom w:val="none" w:sz="0" w:space="0" w:color="auto"/>
                <w:right w:val="none" w:sz="0" w:space="0" w:color="auto"/>
              </w:divBdr>
              <w:divsChild>
                <w:div w:id="2060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488">
          <w:marLeft w:val="75"/>
          <w:marRight w:val="75"/>
          <w:marTop w:val="75"/>
          <w:marBottom w:val="75"/>
          <w:divBdr>
            <w:top w:val="none" w:sz="0" w:space="0" w:color="auto"/>
            <w:left w:val="none" w:sz="0" w:space="0" w:color="auto"/>
            <w:bottom w:val="none" w:sz="0" w:space="0" w:color="auto"/>
            <w:right w:val="none" w:sz="0" w:space="0" w:color="auto"/>
          </w:divBdr>
          <w:divsChild>
            <w:div w:id="1615407983">
              <w:marLeft w:val="0"/>
              <w:marRight w:val="0"/>
              <w:marTop w:val="0"/>
              <w:marBottom w:val="0"/>
              <w:divBdr>
                <w:top w:val="none" w:sz="0" w:space="0" w:color="auto"/>
                <w:left w:val="none" w:sz="0" w:space="0" w:color="auto"/>
                <w:bottom w:val="single" w:sz="6" w:space="0" w:color="000000"/>
                <w:right w:val="none" w:sz="0" w:space="0" w:color="auto"/>
              </w:divBdr>
            </w:div>
            <w:div w:id="384569299">
              <w:marLeft w:val="0"/>
              <w:marRight w:val="0"/>
              <w:marTop w:val="0"/>
              <w:marBottom w:val="0"/>
              <w:divBdr>
                <w:top w:val="none" w:sz="0" w:space="0" w:color="auto"/>
                <w:left w:val="none" w:sz="0" w:space="0" w:color="auto"/>
                <w:bottom w:val="none" w:sz="0" w:space="0" w:color="auto"/>
                <w:right w:val="none" w:sz="0" w:space="0" w:color="auto"/>
              </w:divBdr>
              <w:divsChild>
                <w:div w:id="258872695">
                  <w:marLeft w:val="0"/>
                  <w:marRight w:val="0"/>
                  <w:marTop w:val="0"/>
                  <w:marBottom w:val="75"/>
                  <w:divBdr>
                    <w:top w:val="none" w:sz="0" w:space="0" w:color="auto"/>
                    <w:left w:val="none" w:sz="0" w:space="0" w:color="auto"/>
                    <w:bottom w:val="single" w:sz="6" w:space="4" w:color="999999"/>
                    <w:right w:val="none" w:sz="0" w:space="0" w:color="auto"/>
                  </w:divBdr>
                  <w:divsChild>
                    <w:div w:id="1388989407">
                      <w:marLeft w:val="0"/>
                      <w:marRight w:val="0"/>
                      <w:marTop w:val="0"/>
                      <w:marBottom w:val="0"/>
                      <w:divBdr>
                        <w:top w:val="none" w:sz="0" w:space="0" w:color="auto"/>
                        <w:left w:val="none" w:sz="0" w:space="0" w:color="auto"/>
                        <w:bottom w:val="none" w:sz="0" w:space="0" w:color="auto"/>
                        <w:right w:val="none" w:sz="0" w:space="0" w:color="auto"/>
                      </w:divBdr>
                    </w:div>
                    <w:div w:id="1884828336">
                      <w:marLeft w:val="0"/>
                      <w:marRight w:val="0"/>
                      <w:marTop w:val="0"/>
                      <w:marBottom w:val="0"/>
                      <w:divBdr>
                        <w:top w:val="none" w:sz="0" w:space="0" w:color="auto"/>
                        <w:left w:val="none" w:sz="0" w:space="0" w:color="auto"/>
                        <w:bottom w:val="none" w:sz="0" w:space="0" w:color="auto"/>
                        <w:right w:val="none" w:sz="0" w:space="0" w:color="auto"/>
                      </w:divBdr>
                      <w:divsChild>
                        <w:div w:id="1127120675">
                          <w:marLeft w:val="0"/>
                          <w:marRight w:val="0"/>
                          <w:marTop w:val="0"/>
                          <w:marBottom w:val="0"/>
                          <w:divBdr>
                            <w:top w:val="none" w:sz="0" w:space="0" w:color="auto"/>
                            <w:left w:val="none" w:sz="0" w:space="0" w:color="auto"/>
                            <w:bottom w:val="none" w:sz="0" w:space="0" w:color="auto"/>
                            <w:right w:val="none" w:sz="0" w:space="0" w:color="auto"/>
                          </w:divBdr>
                        </w:div>
                        <w:div w:id="412943406">
                          <w:marLeft w:val="0"/>
                          <w:marRight w:val="0"/>
                          <w:marTop w:val="0"/>
                          <w:marBottom w:val="0"/>
                          <w:divBdr>
                            <w:top w:val="none" w:sz="0" w:space="0" w:color="auto"/>
                            <w:left w:val="none" w:sz="0" w:space="0" w:color="auto"/>
                            <w:bottom w:val="none" w:sz="0" w:space="0" w:color="auto"/>
                            <w:right w:val="none" w:sz="0" w:space="0" w:color="auto"/>
                          </w:divBdr>
                        </w:div>
                        <w:div w:id="390612856">
                          <w:marLeft w:val="0"/>
                          <w:marRight w:val="0"/>
                          <w:marTop w:val="0"/>
                          <w:marBottom w:val="0"/>
                          <w:divBdr>
                            <w:top w:val="none" w:sz="0" w:space="0" w:color="auto"/>
                            <w:left w:val="none" w:sz="0" w:space="0" w:color="auto"/>
                            <w:bottom w:val="none" w:sz="0" w:space="0" w:color="auto"/>
                            <w:right w:val="none" w:sz="0" w:space="0" w:color="auto"/>
                          </w:divBdr>
                          <w:divsChild>
                            <w:div w:id="1844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3779">
                  <w:marLeft w:val="0"/>
                  <w:marRight w:val="0"/>
                  <w:marTop w:val="0"/>
                  <w:marBottom w:val="75"/>
                  <w:divBdr>
                    <w:top w:val="none" w:sz="0" w:space="0" w:color="auto"/>
                    <w:left w:val="none" w:sz="0" w:space="0" w:color="auto"/>
                    <w:bottom w:val="single" w:sz="6" w:space="4" w:color="999999"/>
                    <w:right w:val="none" w:sz="0" w:space="0" w:color="auto"/>
                  </w:divBdr>
                  <w:divsChild>
                    <w:div w:id="2103213493">
                      <w:marLeft w:val="0"/>
                      <w:marRight w:val="0"/>
                      <w:marTop w:val="0"/>
                      <w:marBottom w:val="0"/>
                      <w:divBdr>
                        <w:top w:val="none" w:sz="0" w:space="0" w:color="auto"/>
                        <w:left w:val="none" w:sz="0" w:space="0" w:color="auto"/>
                        <w:bottom w:val="none" w:sz="0" w:space="0" w:color="auto"/>
                        <w:right w:val="none" w:sz="0" w:space="0" w:color="auto"/>
                      </w:divBdr>
                      <w:divsChild>
                        <w:div w:id="203491763">
                          <w:marLeft w:val="0"/>
                          <w:marRight w:val="0"/>
                          <w:marTop w:val="0"/>
                          <w:marBottom w:val="0"/>
                          <w:divBdr>
                            <w:top w:val="none" w:sz="0" w:space="0" w:color="auto"/>
                            <w:left w:val="none" w:sz="0" w:space="0" w:color="auto"/>
                            <w:bottom w:val="none" w:sz="0" w:space="0" w:color="auto"/>
                            <w:right w:val="none" w:sz="0" w:space="0" w:color="auto"/>
                          </w:divBdr>
                        </w:div>
                        <w:div w:id="523133655">
                          <w:marLeft w:val="0"/>
                          <w:marRight w:val="0"/>
                          <w:marTop w:val="0"/>
                          <w:marBottom w:val="0"/>
                          <w:divBdr>
                            <w:top w:val="none" w:sz="0" w:space="0" w:color="auto"/>
                            <w:left w:val="none" w:sz="0" w:space="0" w:color="auto"/>
                            <w:bottom w:val="none" w:sz="0" w:space="0" w:color="auto"/>
                            <w:right w:val="none" w:sz="0" w:space="0" w:color="auto"/>
                          </w:divBdr>
                        </w:div>
                        <w:div w:id="760681350">
                          <w:marLeft w:val="0"/>
                          <w:marRight w:val="0"/>
                          <w:marTop w:val="0"/>
                          <w:marBottom w:val="0"/>
                          <w:divBdr>
                            <w:top w:val="none" w:sz="0" w:space="0" w:color="auto"/>
                            <w:left w:val="none" w:sz="0" w:space="0" w:color="auto"/>
                            <w:bottom w:val="none" w:sz="0" w:space="0" w:color="auto"/>
                            <w:right w:val="none" w:sz="0" w:space="0" w:color="auto"/>
                          </w:divBdr>
                          <w:divsChild>
                            <w:div w:id="17603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discovery.org/news/new_findings/16252-stem-cell-transplants-risky-effec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urology.org/content/early/2015/02/11/WNL.0000000000001329.abstract" TargetMode="External"/><Relationship Id="rId12" Type="http://schemas.openxmlformats.org/officeDocument/2006/relationships/hyperlink" Target="http://www.msdiscovery.org/papers/biblio/16894-andiamo-moving-forward-autologous-hematopoietic-transplantation-highly-activ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iscovery.org/research-resources/drug-pipeline/547-mitoxantrone" TargetMode="External"/><Relationship Id="rId11" Type="http://schemas.openxmlformats.org/officeDocument/2006/relationships/hyperlink" Target="http://www.msdiscovery.org/papers/biblio/16893-autologous-hematopoietic-stem-cell-transplantation-multiple-sclerosis-phase-ii" TargetMode="External"/><Relationship Id="rId5" Type="http://schemas.openxmlformats.org/officeDocument/2006/relationships/image" Target="media/image1.jpeg"/><Relationship Id="rId10" Type="http://schemas.openxmlformats.org/officeDocument/2006/relationships/hyperlink" Target="http://www.neurology.org/content/suppl/2015/02/11/WNL.0000000000001329.DC3/WNL.0000000000001347.pdf" TargetMode="External"/><Relationship Id="rId4" Type="http://schemas.openxmlformats.org/officeDocument/2006/relationships/webSettings" Target="webSettings.xml"/><Relationship Id="rId9" Type="http://schemas.openxmlformats.org/officeDocument/2006/relationships/hyperlink" Target="http://www.msdiscovery.org/news/new_findings/16608-more-encouraging-results-stem-cell-transpl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5491</Characters>
  <Application>Microsoft Office Word</Application>
  <DocSecurity>8</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2015-02-16T22:10:00Z</dcterms:created>
  <dcterms:modified xsi:type="dcterms:W3CDTF">2015-02-19T02:23:00Z</dcterms:modified>
</cp:coreProperties>
</file>